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1408B" w14:textId="53130341" w:rsidR="00FD5176" w:rsidRDefault="00FD5176" w:rsidP="00FD5176">
      <w:pPr>
        <w:rPr>
          <w:lang w:val="fi-FI"/>
        </w:rPr>
      </w:pPr>
      <w:r>
        <w:rPr>
          <w:lang w:val="fi-FI"/>
        </w:rPr>
        <w:t xml:space="preserve">                                                                                                                                                                                     29.07.2024</w:t>
      </w:r>
    </w:p>
    <w:p w14:paraId="4943E385" w14:textId="03116375" w:rsidR="008761DB" w:rsidRPr="00FD5176" w:rsidRDefault="00FD5176" w:rsidP="00FD5176">
      <w:pPr>
        <w:pStyle w:val="Heading1"/>
        <w:rPr>
          <w:lang w:val="fi-FI"/>
        </w:rPr>
      </w:pPr>
      <w:r w:rsidRPr="00FD5176">
        <w:rPr>
          <w:lang w:val="fi-FI"/>
        </w:rPr>
        <w:t xml:space="preserve">Eesti </w:t>
      </w:r>
      <w:r>
        <w:rPr>
          <w:lang w:val="fi-FI"/>
        </w:rPr>
        <w:t>r</w:t>
      </w:r>
      <w:r w:rsidRPr="00FD5176">
        <w:rPr>
          <w:lang w:val="fi-FI"/>
        </w:rPr>
        <w:t>adioloogia</w:t>
      </w:r>
      <w:r>
        <w:rPr>
          <w:lang w:val="fi-FI"/>
        </w:rPr>
        <w:t xml:space="preserve"> </w:t>
      </w:r>
      <w:r w:rsidRPr="00FD5176">
        <w:rPr>
          <w:lang w:val="fi-FI"/>
        </w:rPr>
        <w:t xml:space="preserve">ühingu (ERÜ) </w:t>
      </w:r>
      <w:r>
        <w:rPr>
          <w:lang w:val="fi-FI"/>
        </w:rPr>
        <w:t xml:space="preserve">vastuskiri               </w:t>
      </w:r>
    </w:p>
    <w:p w14:paraId="328EAD10" w14:textId="77777777" w:rsidR="00FD5176" w:rsidRPr="00FD5176" w:rsidRDefault="00FD5176" w:rsidP="00FD5176">
      <w:pPr>
        <w:rPr>
          <w:lang w:val="fi-FI"/>
        </w:rPr>
      </w:pPr>
    </w:p>
    <w:p w14:paraId="499580B5" w14:textId="7A55A8E1" w:rsidR="00FD5176" w:rsidRDefault="00FD5176" w:rsidP="00FD5176">
      <w:pPr>
        <w:rPr>
          <w:rFonts w:ascii="Times New Roman" w:hAnsi="Times New Roman" w:cs="Times New Roman"/>
          <w:b/>
          <w:bCs/>
          <w:sz w:val="24"/>
          <w:szCs w:val="24"/>
          <w:lang w:val="fi-FI"/>
        </w:rPr>
      </w:pPr>
      <w:r w:rsidRPr="00FD5176">
        <w:rPr>
          <w:rFonts w:ascii="Times New Roman" w:hAnsi="Times New Roman" w:cs="Times New Roman"/>
          <w:b/>
          <w:bCs/>
          <w:sz w:val="24"/>
          <w:szCs w:val="24"/>
          <w:lang w:val="fi-FI"/>
        </w:rPr>
        <w:t>Tagasiside tervise- ja tööministri 19. detsembri 2018. a määruse nr 71 „Meditsiinikiirituse protseduuride kiirgusohutusnõuded, meditsiinikiirituse protseduuride kliinilise auditi nõuded ning diagnostilised referentsväärtused ja nende määramise nõuded“ muutmisettepanekutele</w:t>
      </w:r>
    </w:p>
    <w:p w14:paraId="5B099362" w14:textId="77777777" w:rsidR="00FD5176" w:rsidRDefault="00FD5176" w:rsidP="00FD5176">
      <w:pPr>
        <w:rPr>
          <w:rFonts w:ascii="Times New Roman" w:hAnsi="Times New Roman" w:cs="Times New Roman"/>
          <w:b/>
          <w:bCs/>
          <w:sz w:val="24"/>
          <w:szCs w:val="24"/>
          <w:lang w:val="fi-FI"/>
        </w:rPr>
      </w:pPr>
    </w:p>
    <w:p w14:paraId="41024A6C" w14:textId="37B02EEF" w:rsidR="00015621" w:rsidRDefault="00EE72A2" w:rsidP="00FD5176">
      <w:pPr>
        <w:pStyle w:val="Heading2"/>
        <w:rPr>
          <w:lang w:val="fi-FI"/>
        </w:rPr>
      </w:pPr>
      <w:r w:rsidRPr="00EE72A2">
        <w:rPr>
          <w:lang w:val="fi-FI"/>
        </w:rPr>
        <w:t>§ 1. Määruse muutmine</w:t>
      </w:r>
    </w:p>
    <w:p w14:paraId="518B34BE" w14:textId="77777777" w:rsidR="00015621" w:rsidRPr="00015621" w:rsidRDefault="00015621" w:rsidP="00015621">
      <w:pPr>
        <w:rPr>
          <w:lang w:val="fi-FI"/>
        </w:rPr>
      </w:pPr>
    </w:p>
    <w:p w14:paraId="4509BF01" w14:textId="352CE0B4" w:rsidR="00FD5176" w:rsidRDefault="00015621" w:rsidP="00015621">
      <w:pPr>
        <w:rPr>
          <w:lang w:val="fi-FI"/>
        </w:rPr>
      </w:pPr>
      <w:r>
        <w:rPr>
          <w:lang w:val="fi-FI"/>
        </w:rPr>
        <w:t>”</w:t>
      </w:r>
      <w:r w:rsidR="00FD5176">
        <w:rPr>
          <w:lang w:val="fi-FI"/>
        </w:rPr>
        <w:t xml:space="preserve">3) </w:t>
      </w:r>
      <w:r w:rsidR="00FD5176" w:rsidRPr="00FD5176">
        <w:rPr>
          <w:lang w:val="fi-FI"/>
        </w:rPr>
        <w:t xml:space="preserve">paragrahvi 2 täiendatakse punktidega 14–20 järgmises sõnastuses: </w:t>
      </w:r>
      <w:r w:rsidR="00FD5176">
        <w:rPr>
          <w:lang w:val="fi-FI"/>
        </w:rPr>
        <w:t xml:space="preserve"> </w:t>
      </w:r>
    </w:p>
    <w:p w14:paraId="0A7C9942" w14:textId="73764D21" w:rsidR="00FD5176" w:rsidRPr="007E17BD" w:rsidRDefault="00FD5176" w:rsidP="00FD5176">
      <w:pPr>
        <w:rPr>
          <w:rFonts w:asciiTheme="majorHAnsi" w:hAnsiTheme="majorHAnsi"/>
          <w:sz w:val="24"/>
          <w:szCs w:val="24"/>
          <w:lang w:val="fi-FI"/>
        </w:rPr>
      </w:pPr>
      <w:r w:rsidRPr="007E17BD">
        <w:rPr>
          <w:rFonts w:asciiTheme="majorHAnsi" w:hAnsiTheme="majorHAnsi"/>
          <w:sz w:val="24"/>
          <w:szCs w:val="24"/>
          <w:lang w:val="fi-FI"/>
        </w:rPr>
        <w:t>…</w:t>
      </w:r>
    </w:p>
    <w:p w14:paraId="0B99D00D" w14:textId="15B51988" w:rsidR="00FD5176" w:rsidRPr="007E17BD" w:rsidRDefault="00FD5176" w:rsidP="00FD5176">
      <w:pPr>
        <w:rPr>
          <w:rFonts w:asciiTheme="majorHAnsi" w:hAnsiTheme="majorHAnsi"/>
          <w:sz w:val="24"/>
          <w:szCs w:val="24"/>
          <w:lang w:val="fi-FI"/>
        </w:rPr>
      </w:pPr>
      <w:r w:rsidRPr="007E17BD">
        <w:rPr>
          <w:rFonts w:asciiTheme="majorHAnsi" w:hAnsiTheme="majorHAnsi"/>
          <w:sz w:val="24"/>
          <w:szCs w:val="24"/>
          <w:lang w:val="fi-FI"/>
        </w:rPr>
        <w:t>20) standardsuurusega patsiendi patsiendidoos – kiirgustegevusloa omaja poolt leitav patsientide valimi põhjal moodustunud kujuteldava patsiendi kiirgusdoosi iseloomustav füüsikaline suurus, mida võrreldakse diagnostilise referentsväärtusega ja kasutatakse patsiendidoosi optimeerimiseks.”</w:t>
      </w:r>
    </w:p>
    <w:p w14:paraId="46D5FAD0" w14:textId="77777777" w:rsidR="00FD5176" w:rsidRPr="007E17BD" w:rsidRDefault="00FD5176" w:rsidP="00FD5176">
      <w:pPr>
        <w:rPr>
          <w:rFonts w:asciiTheme="majorHAnsi" w:hAnsiTheme="majorHAnsi"/>
          <w:sz w:val="24"/>
          <w:szCs w:val="24"/>
          <w:lang w:val="fi-FI"/>
        </w:rPr>
      </w:pPr>
    </w:p>
    <w:p w14:paraId="04334E1F" w14:textId="6B01AC2B" w:rsidR="00EE72A2" w:rsidRPr="00C152DE" w:rsidRDefault="00EE72A2" w:rsidP="00EE72A2">
      <w:pPr>
        <w:rPr>
          <w:rFonts w:asciiTheme="majorHAnsi" w:hAnsiTheme="majorHAnsi"/>
          <w:sz w:val="24"/>
          <w:szCs w:val="24"/>
          <w:lang w:val="fi-FI"/>
        </w:rPr>
      </w:pPr>
      <w:r w:rsidRPr="007E17BD">
        <w:rPr>
          <w:rFonts w:asciiTheme="majorHAnsi" w:hAnsiTheme="majorHAnsi"/>
          <w:b/>
          <w:bCs/>
          <w:sz w:val="24"/>
          <w:szCs w:val="24"/>
          <w:lang w:val="fi-FI"/>
        </w:rPr>
        <w:t>Tagasiside</w:t>
      </w:r>
      <w:r w:rsidR="00FD5176" w:rsidRPr="007E17BD">
        <w:rPr>
          <w:rFonts w:asciiTheme="majorHAnsi" w:hAnsiTheme="majorHAnsi"/>
          <w:b/>
          <w:bCs/>
          <w:sz w:val="24"/>
          <w:szCs w:val="24"/>
          <w:lang w:val="fi-FI"/>
        </w:rPr>
        <w:t>:</w:t>
      </w:r>
      <w:r w:rsidR="00FD5176" w:rsidRPr="007E17BD">
        <w:rPr>
          <w:rFonts w:asciiTheme="majorHAnsi" w:hAnsiTheme="majorHAnsi"/>
          <w:sz w:val="24"/>
          <w:szCs w:val="24"/>
          <w:lang w:val="fi-FI"/>
        </w:rPr>
        <w:t xml:space="preserve"> </w:t>
      </w:r>
      <w:r w:rsidR="00015621">
        <w:rPr>
          <w:rFonts w:asciiTheme="majorHAnsi" w:hAnsiTheme="majorHAnsi"/>
          <w:sz w:val="24"/>
          <w:szCs w:val="24"/>
          <w:lang w:val="fi-FI"/>
        </w:rPr>
        <w:t xml:space="preserve">ERÜ kommentaarid puudutavad  viimast terminit. </w:t>
      </w:r>
      <w:r w:rsidR="00FD5176" w:rsidRPr="007E17BD">
        <w:rPr>
          <w:rFonts w:asciiTheme="majorHAnsi" w:hAnsiTheme="majorHAnsi"/>
          <w:sz w:val="24"/>
          <w:szCs w:val="24"/>
          <w:lang w:val="fi-FI"/>
        </w:rPr>
        <w:t>Soovita</w:t>
      </w:r>
      <w:r w:rsidRPr="007E17BD">
        <w:rPr>
          <w:rFonts w:asciiTheme="majorHAnsi" w:hAnsiTheme="majorHAnsi"/>
          <w:sz w:val="24"/>
          <w:szCs w:val="24"/>
          <w:lang w:val="fi-FI"/>
        </w:rPr>
        <w:t xml:space="preserve">me eemalda sõna ”standardsuurusega”, kuna </w:t>
      </w:r>
      <w:r w:rsidR="007C4B90">
        <w:rPr>
          <w:rFonts w:asciiTheme="majorHAnsi" w:hAnsiTheme="majorHAnsi"/>
          <w:sz w:val="24"/>
          <w:szCs w:val="24"/>
          <w:lang w:val="fi-FI"/>
        </w:rPr>
        <w:t>termin on segadust tekitav</w:t>
      </w:r>
      <w:r w:rsidRPr="007E17BD">
        <w:rPr>
          <w:rFonts w:asciiTheme="majorHAnsi" w:hAnsiTheme="majorHAnsi"/>
          <w:sz w:val="24"/>
          <w:szCs w:val="24"/>
          <w:lang w:val="fi-FI"/>
        </w:rPr>
        <w:t xml:space="preserve">. </w:t>
      </w:r>
      <w:r w:rsidR="007C4B90" w:rsidRPr="00C152DE">
        <w:rPr>
          <w:rFonts w:asciiTheme="majorHAnsi" w:hAnsiTheme="majorHAnsi"/>
          <w:sz w:val="24"/>
          <w:szCs w:val="24"/>
          <w:lang w:val="fi-FI"/>
        </w:rPr>
        <w:t>Lisaks paneb ”patsiendidoos” mõtleme efektiivdoosile. Parem termin oleks: “Referentssuuruse</w:t>
      </w:r>
      <w:r w:rsidR="00015621" w:rsidRPr="00C152DE">
        <w:rPr>
          <w:rFonts w:asciiTheme="majorHAnsi" w:hAnsiTheme="majorHAnsi"/>
          <w:sz w:val="24"/>
          <w:szCs w:val="24"/>
          <w:lang w:val="fi-FI"/>
        </w:rPr>
        <w:t>s</w:t>
      </w:r>
      <w:r w:rsidR="007C4B90" w:rsidRPr="00C152DE">
        <w:rPr>
          <w:rFonts w:asciiTheme="majorHAnsi" w:hAnsiTheme="majorHAnsi"/>
          <w:sz w:val="24"/>
          <w:szCs w:val="24"/>
          <w:lang w:val="fi-FI"/>
        </w:rPr>
        <w:t xml:space="preserve"> patsiendi kiirgusdoos”. Ilmselt tuleks plaanitava Kiirgusseaduse muudatuse valguses asendada “kiirgustegevusloa omaja” terminiga ”</w:t>
      </w:r>
      <w:r w:rsidR="007C4B90" w:rsidRPr="00C152DE">
        <w:rPr>
          <w:rFonts w:asciiTheme="majorHAnsi" w:eastAsia="Times New Roman" w:hAnsiTheme="majorHAnsi" w:cs="Times New Roman"/>
          <w:kern w:val="0"/>
          <w:sz w:val="24"/>
          <w:szCs w:val="24"/>
          <w:lang w:val="fi-FI"/>
          <w14:ligatures w14:val="none"/>
        </w:rPr>
        <w:t>kiirgustegevuse teostaja”?</w:t>
      </w:r>
    </w:p>
    <w:p w14:paraId="247C63F1" w14:textId="77777777" w:rsidR="007E17BD" w:rsidRPr="00C152DE" w:rsidRDefault="007E17BD" w:rsidP="00EE72A2">
      <w:pPr>
        <w:rPr>
          <w:lang w:val="fi-FI"/>
        </w:rPr>
      </w:pPr>
    </w:p>
    <w:p w14:paraId="141494C2" w14:textId="6BD8395C" w:rsidR="007E17BD" w:rsidRDefault="007E17BD" w:rsidP="007E17BD">
      <w:pPr>
        <w:pStyle w:val="Heading2"/>
        <w:rPr>
          <w:lang w:val="fi-FI"/>
        </w:rPr>
      </w:pPr>
      <w:r w:rsidRPr="007E17BD">
        <w:rPr>
          <w:lang w:val="fi-FI"/>
        </w:rPr>
        <w:t>§ 2. Meditsiinikiirituse kasutamise põhjendamine meditsiinikiirituse protseduuri tegemise kavandamisel</w:t>
      </w:r>
    </w:p>
    <w:p w14:paraId="574C5D3B" w14:textId="77777777" w:rsidR="007E17BD" w:rsidRDefault="007E17BD" w:rsidP="007E17BD">
      <w:pPr>
        <w:rPr>
          <w:lang w:val="fi-FI"/>
        </w:rPr>
      </w:pPr>
    </w:p>
    <w:p w14:paraId="7C23FB56" w14:textId="26DBE2F8" w:rsidR="007E17BD" w:rsidRPr="007E17BD" w:rsidRDefault="007E17BD" w:rsidP="007E17BD">
      <w:pPr>
        <w:rPr>
          <w:rFonts w:asciiTheme="majorHAnsi" w:hAnsiTheme="majorHAnsi" w:cs="Times New Roman"/>
          <w:sz w:val="24"/>
          <w:szCs w:val="24"/>
          <w:lang w:val="fi-FI"/>
        </w:rPr>
      </w:pPr>
      <w:r w:rsidRPr="007E17BD">
        <w:rPr>
          <w:rFonts w:asciiTheme="majorHAnsi" w:hAnsiTheme="majorHAnsi" w:cs="Times New Roman"/>
          <w:sz w:val="24"/>
          <w:szCs w:val="24"/>
          <w:lang w:val="fi-FI"/>
        </w:rPr>
        <w:t>” Meditsiinikiirituse protseduuri tegemist hõlmava kiirgustegevuse kavandamisel ja meditsiinikiirituse protseduuri tegevusjuhiste koostamisel võetakse arvesse teadmiste ja tehnoloogia arengut ning lähtutakse asjakohasest riiklikult kehtestatud või rahvusvaheliselt tunnustatud juhendist ja heast tavast meditsiinikiirituse kasutamise põhjendamise kohta.”</w:t>
      </w:r>
    </w:p>
    <w:p w14:paraId="5D410308" w14:textId="77777777" w:rsidR="007E17BD" w:rsidRPr="007E17BD" w:rsidRDefault="007E17BD" w:rsidP="007E17BD">
      <w:pPr>
        <w:rPr>
          <w:rFonts w:asciiTheme="majorHAnsi" w:hAnsiTheme="majorHAnsi" w:cs="Times New Roman"/>
          <w:sz w:val="24"/>
          <w:szCs w:val="24"/>
          <w:lang w:val="fi-FI"/>
        </w:rPr>
      </w:pPr>
    </w:p>
    <w:p w14:paraId="5F9778D7" w14:textId="45F7DAA7" w:rsidR="007E17BD" w:rsidRDefault="007E17BD" w:rsidP="007E17BD">
      <w:pPr>
        <w:rPr>
          <w:rFonts w:asciiTheme="majorHAnsi" w:hAnsiTheme="majorHAnsi" w:cs="Times New Roman"/>
          <w:sz w:val="24"/>
          <w:szCs w:val="24"/>
          <w:lang w:val="fi-FI"/>
        </w:rPr>
      </w:pPr>
      <w:r w:rsidRPr="007E17BD">
        <w:rPr>
          <w:rFonts w:asciiTheme="majorHAnsi" w:hAnsiTheme="majorHAnsi" w:cs="Times New Roman"/>
          <w:b/>
          <w:bCs/>
          <w:sz w:val="24"/>
          <w:szCs w:val="24"/>
          <w:lang w:val="fi-FI"/>
        </w:rPr>
        <w:lastRenderedPageBreak/>
        <w:t>Tagasiside:</w:t>
      </w:r>
      <w:r w:rsidR="00015621">
        <w:rPr>
          <w:rFonts w:asciiTheme="majorHAnsi" w:hAnsiTheme="majorHAnsi" w:cs="Times New Roman"/>
          <w:b/>
          <w:bCs/>
          <w:sz w:val="24"/>
          <w:szCs w:val="24"/>
          <w:lang w:val="fi-FI"/>
        </w:rPr>
        <w:t xml:space="preserve"> </w:t>
      </w:r>
      <w:r w:rsidRPr="007E17BD">
        <w:rPr>
          <w:rFonts w:asciiTheme="majorHAnsi" w:hAnsiTheme="majorHAnsi" w:cs="Times New Roman"/>
          <w:b/>
          <w:bCs/>
          <w:sz w:val="24"/>
          <w:szCs w:val="24"/>
          <w:lang w:val="fi-FI"/>
        </w:rPr>
        <w:t xml:space="preserve"> </w:t>
      </w:r>
      <w:r w:rsidRPr="007E17BD">
        <w:rPr>
          <w:rFonts w:asciiTheme="majorHAnsi" w:hAnsiTheme="majorHAnsi" w:cs="Times New Roman"/>
          <w:sz w:val="24"/>
          <w:szCs w:val="24"/>
          <w:lang w:val="fi-FI"/>
        </w:rPr>
        <w:t>Soovitame kasutada ” riiklikult kehtestatud või rahvusvaheliselt tunnustatud juhendist” asemel ”</w:t>
      </w:r>
      <w:r w:rsidRPr="007E17BD">
        <w:rPr>
          <w:rFonts w:asciiTheme="majorHAnsi" w:eastAsia="Times New Roman" w:hAnsiTheme="majorHAnsi" w:cs="Times New Roman"/>
          <w:kern w:val="0"/>
          <w:sz w:val="24"/>
          <w:szCs w:val="24"/>
          <w:lang w:val="fi-FI"/>
          <w14:ligatures w14:val="none"/>
        </w:rPr>
        <w:t>kiirgustegevuse teosta</w:t>
      </w:r>
      <w:r>
        <w:rPr>
          <w:rFonts w:asciiTheme="majorHAnsi" w:eastAsia="Times New Roman" w:hAnsiTheme="majorHAnsi" w:cs="Times New Roman"/>
          <w:kern w:val="0"/>
          <w:sz w:val="24"/>
          <w:szCs w:val="24"/>
          <w:lang w:val="fi-FI"/>
          <w14:ligatures w14:val="none"/>
        </w:rPr>
        <w:t>ja</w:t>
      </w:r>
      <w:r w:rsidRPr="007E17BD">
        <w:rPr>
          <w:rFonts w:asciiTheme="majorHAnsi" w:eastAsia="Times New Roman" w:hAnsiTheme="majorHAnsi" w:cs="Times New Roman"/>
          <w:kern w:val="0"/>
          <w:sz w:val="24"/>
          <w:szCs w:val="24"/>
          <w:lang w:val="fi-FI"/>
          <w14:ligatures w14:val="none"/>
        </w:rPr>
        <w:t xml:space="preserve"> </w:t>
      </w:r>
      <w:r w:rsidRPr="007E17BD">
        <w:rPr>
          <w:rFonts w:asciiTheme="majorHAnsi" w:hAnsiTheme="majorHAnsi" w:cs="Times New Roman"/>
          <w:sz w:val="24"/>
          <w:szCs w:val="24"/>
          <w:lang w:val="fi-FI"/>
        </w:rPr>
        <w:t>poolt tunnustatud juhendist</w:t>
      </w:r>
      <w:r>
        <w:rPr>
          <w:rFonts w:asciiTheme="majorHAnsi" w:hAnsiTheme="majorHAnsi" w:cs="Times New Roman"/>
          <w:sz w:val="24"/>
          <w:szCs w:val="24"/>
          <w:lang w:val="fi-FI"/>
        </w:rPr>
        <w:t xml:space="preserve">”. Seda põhjusel, et ilmselt ei ole riigil kavas hakata juhendeid tunnustama. Laiemalt rahvusvaheliselt tunnustatud juhendid on tõenäoliselt samuti haruldane nähtus. Samas jääksid siin välja kõik TTO-de enda suure vaevaga välja töötatud tegevusjuhised/juhendid ning erialaseltside poolt tunnustatud juhendid. Termin </w:t>
      </w:r>
      <w:r w:rsidRPr="007E17BD">
        <w:rPr>
          <w:rFonts w:asciiTheme="majorHAnsi" w:hAnsiTheme="majorHAnsi" w:cs="Times New Roman"/>
          <w:sz w:val="24"/>
          <w:szCs w:val="24"/>
          <w:lang w:val="fi-FI"/>
        </w:rPr>
        <w:t>”</w:t>
      </w:r>
      <w:r w:rsidRPr="007E17BD">
        <w:rPr>
          <w:rFonts w:asciiTheme="majorHAnsi" w:eastAsia="Times New Roman" w:hAnsiTheme="majorHAnsi" w:cs="Times New Roman"/>
          <w:kern w:val="0"/>
          <w:sz w:val="24"/>
          <w:szCs w:val="24"/>
          <w:lang w:val="fi-FI"/>
          <w14:ligatures w14:val="none"/>
        </w:rPr>
        <w:t>kiirgustegevuse teosta</w:t>
      </w:r>
      <w:r>
        <w:rPr>
          <w:rFonts w:asciiTheme="majorHAnsi" w:eastAsia="Times New Roman" w:hAnsiTheme="majorHAnsi" w:cs="Times New Roman"/>
          <w:kern w:val="0"/>
          <w:sz w:val="24"/>
          <w:szCs w:val="24"/>
          <w:lang w:val="fi-FI"/>
          <w14:ligatures w14:val="none"/>
        </w:rPr>
        <w:t>ja</w:t>
      </w:r>
      <w:r w:rsidRPr="007E17BD">
        <w:rPr>
          <w:rFonts w:asciiTheme="majorHAnsi" w:eastAsia="Times New Roman" w:hAnsiTheme="majorHAnsi" w:cs="Times New Roman"/>
          <w:kern w:val="0"/>
          <w:sz w:val="24"/>
          <w:szCs w:val="24"/>
          <w:lang w:val="fi-FI"/>
          <w14:ligatures w14:val="none"/>
        </w:rPr>
        <w:t xml:space="preserve"> </w:t>
      </w:r>
      <w:r w:rsidRPr="007E17BD">
        <w:rPr>
          <w:rFonts w:asciiTheme="majorHAnsi" w:hAnsiTheme="majorHAnsi" w:cs="Times New Roman"/>
          <w:sz w:val="24"/>
          <w:szCs w:val="24"/>
          <w:lang w:val="fi-FI"/>
        </w:rPr>
        <w:t>poolt tunnustatud juhendist</w:t>
      </w:r>
      <w:r>
        <w:rPr>
          <w:rFonts w:asciiTheme="majorHAnsi" w:hAnsiTheme="majorHAnsi" w:cs="Times New Roman"/>
          <w:sz w:val="24"/>
          <w:szCs w:val="24"/>
          <w:lang w:val="fi-FI"/>
        </w:rPr>
        <w:t>” võimaldaks paindlikult välja valida juhendid, mis vastavad tänapäevastele arusaamadele</w:t>
      </w:r>
      <w:r w:rsidR="00E9675A">
        <w:rPr>
          <w:rFonts w:asciiTheme="majorHAnsi" w:hAnsiTheme="majorHAnsi" w:cs="Times New Roman"/>
          <w:sz w:val="24"/>
          <w:szCs w:val="24"/>
          <w:lang w:val="fi-FI"/>
        </w:rPr>
        <w:t xml:space="preserve"> ning Eesti praktikale</w:t>
      </w:r>
      <w:r>
        <w:rPr>
          <w:rFonts w:asciiTheme="majorHAnsi" w:hAnsiTheme="majorHAnsi" w:cs="Times New Roman"/>
          <w:sz w:val="24"/>
          <w:szCs w:val="24"/>
          <w:lang w:val="fi-FI"/>
        </w:rPr>
        <w:t>.</w:t>
      </w:r>
    </w:p>
    <w:p w14:paraId="0487E1DA" w14:textId="77777777" w:rsidR="007E17BD" w:rsidRDefault="007E17BD" w:rsidP="007E17BD">
      <w:pPr>
        <w:pStyle w:val="Heading2"/>
        <w:rPr>
          <w:lang w:val="fi-FI"/>
        </w:rPr>
      </w:pPr>
    </w:p>
    <w:p w14:paraId="0749D36C" w14:textId="77777777" w:rsidR="0010709D" w:rsidRDefault="007E17BD" w:rsidP="007E17BD">
      <w:pPr>
        <w:pStyle w:val="Heading2"/>
        <w:rPr>
          <w:lang w:val="fi-FI"/>
        </w:rPr>
      </w:pPr>
      <w:r w:rsidRPr="007E17BD">
        <w:rPr>
          <w:lang w:val="fi-FI"/>
        </w:rPr>
        <w:t>§ 2 . Meditsiinikiirituse protseduuri tegemist hõlmava uuringu kavandamisel ja muutmisel hinnangu võtmine ja teavitamine</w:t>
      </w:r>
      <w:r>
        <w:rPr>
          <w:lang w:val="fi-FI"/>
        </w:rPr>
        <w:t xml:space="preserve">: </w:t>
      </w:r>
    </w:p>
    <w:p w14:paraId="65A214C5" w14:textId="77777777" w:rsidR="0010709D" w:rsidRPr="0010709D" w:rsidRDefault="0010709D" w:rsidP="0010709D">
      <w:pPr>
        <w:rPr>
          <w:lang w:val="fi-FI"/>
        </w:rPr>
      </w:pPr>
    </w:p>
    <w:p w14:paraId="766DBB20" w14:textId="3C5316DE" w:rsidR="007E17BD" w:rsidRDefault="0010709D" w:rsidP="0010709D">
      <w:pPr>
        <w:rPr>
          <w:sz w:val="24"/>
          <w:szCs w:val="24"/>
          <w:lang w:val="fi-FI"/>
        </w:rPr>
      </w:pPr>
      <w:r>
        <w:rPr>
          <w:sz w:val="24"/>
          <w:szCs w:val="24"/>
          <w:lang w:val="fi-FI"/>
        </w:rPr>
        <w:t>”</w:t>
      </w:r>
      <w:r w:rsidR="007E17BD" w:rsidRPr="0010709D">
        <w:rPr>
          <w:sz w:val="24"/>
          <w:szCs w:val="24"/>
          <w:lang w:val="fi-FI"/>
        </w:rPr>
        <w:t>3)</w:t>
      </w:r>
      <w:r w:rsidRPr="0010709D">
        <w:rPr>
          <w:sz w:val="24"/>
          <w:szCs w:val="24"/>
          <w:lang w:val="fi-FI"/>
        </w:rPr>
        <w:t xml:space="preserve"> Meditsiinikiirituse protseduuri tegemist hõlmava teadusuuringu ja kliinilise uuringu kavandamisel ja uuringus olulise muudatuse tegemisel teavitab uuringu kavandaja Terviseametit ja Keskkonnaametit</w:t>
      </w:r>
      <w:r>
        <w:rPr>
          <w:sz w:val="24"/>
          <w:szCs w:val="24"/>
          <w:lang w:val="fi-FI"/>
        </w:rPr>
        <w:t>…”</w:t>
      </w:r>
    </w:p>
    <w:p w14:paraId="6FAF7186" w14:textId="77777777" w:rsidR="0010709D" w:rsidRDefault="0010709D" w:rsidP="0010709D">
      <w:pPr>
        <w:rPr>
          <w:sz w:val="24"/>
          <w:szCs w:val="24"/>
          <w:lang w:val="fi-FI"/>
        </w:rPr>
      </w:pPr>
    </w:p>
    <w:p w14:paraId="61443BB8" w14:textId="28073D3A" w:rsidR="0010709D" w:rsidRDefault="0010709D" w:rsidP="0010709D">
      <w:pPr>
        <w:rPr>
          <w:sz w:val="24"/>
          <w:szCs w:val="24"/>
          <w:lang w:val="fi-FI"/>
        </w:rPr>
      </w:pPr>
      <w:r w:rsidRPr="0010709D">
        <w:rPr>
          <w:b/>
          <w:bCs/>
          <w:sz w:val="24"/>
          <w:szCs w:val="24"/>
          <w:lang w:val="fi-FI"/>
        </w:rPr>
        <w:t>Tagasiside:</w:t>
      </w:r>
      <w:r>
        <w:rPr>
          <w:sz w:val="24"/>
          <w:szCs w:val="24"/>
          <w:lang w:val="fi-FI"/>
        </w:rPr>
        <w:t xml:space="preserve"> ERÜ peab oluliseks, et oleks mainitud, et teadusuuringuga võib peale teavitamist koheselt alustada. On mõistetav, et mainitud ametiasutusi tuleb teavitada ning nad võivad ka lisainformatsiooni küsida</w:t>
      </w:r>
      <w:r w:rsidR="003526DE">
        <w:rPr>
          <w:sz w:val="24"/>
          <w:szCs w:val="24"/>
          <w:lang w:val="fi-FI"/>
        </w:rPr>
        <w:t>. Samas on</w:t>
      </w:r>
      <w:r>
        <w:rPr>
          <w:sz w:val="24"/>
          <w:szCs w:val="24"/>
          <w:lang w:val="fi-FI"/>
        </w:rPr>
        <w:t xml:space="preserve"> </w:t>
      </w:r>
      <w:r w:rsidR="003526DE">
        <w:rPr>
          <w:sz w:val="24"/>
          <w:szCs w:val="24"/>
          <w:lang w:val="fi-FI"/>
        </w:rPr>
        <w:t xml:space="preserve">plaanitav </w:t>
      </w:r>
      <w:r>
        <w:rPr>
          <w:sz w:val="24"/>
          <w:szCs w:val="24"/>
          <w:lang w:val="fi-FI"/>
        </w:rPr>
        <w:t>uuring selleks ajaks juba eetikakomitee loa saanud</w:t>
      </w:r>
      <w:r w:rsidR="003526DE">
        <w:rPr>
          <w:sz w:val="24"/>
          <w:szCs w:val="24"/>
          <w:lang w:val="fi-FI"/>
        </w:rPr>
        <w:t xml:space="preserve"> ning</w:t>
      </w:r>
      <w:r>
        <w:rPr>
          <w:sz w:val="24"/>
          <w:szCs w:val="24"/>
          <w:lang w:val="fi-FI"/>
        </w:rPr>
        <w:t xml:space="preserve"> edasised viivitused</w:t>
      </w:r>
      <w:r w:rsidR="003526DE">
        <w:rPr>
          <w:sz w:val="24"/>
          <w:szCs w:val="24"/>
          <w:lang w:val="fi-FI"/>
        </w:rPr>
        <w:t xml:space="preserve"> ei ole</w:t>
      </w:r>
      <w:r>
        <w:rPr>
          <w:sz w:val="24"/>
          <w:szCs w:val="24"/>
          <w:lang w:val="fi-FI"/>
        </w:rPr>
        <w:t xml:space="preserve"> põhjendatud</w:t>
      </w:r>
      <w:r w:rsidR="003526DE">
        <w:rPr>
          <w:sz w:val="24"/>
          <w:szCs w:val="24"/>
          <w:lang w:val="fi-FI"/>
        </w:rPr>
        <w:t>. Üleliigsed viivitused</w:t>
      </w:r>
      <w:r>
        <w:rPr>
          <w:sz w:val="24"/>
          <w:szCs w:val="24"/>
          <w:lang w:val="fi-FI"/>
        </w:rPr>
        <w:t xml:space="preserve"> võivad kahjustada patsientide turvalisust, kui soovitakse näiteks uurida ravimi vahetusega seotud aspekte</w:t>
      </w:r>
      <w:r w:rsidR="003526DE">
        <w:rPr>
          <w:sz w:val="24"/>
          <w:szCs w:val="24"/>
          <w:lang w:val="fi-FI"/>
        </w:rPr>
        <w:t>, bioloogilisi ravimeid jne.</w:t>
      </w:r>
    </w:p>
    <w:p w14:paraId="762FBFAD" w14:textId="77777777" w:rsidR="00015621" w:rsidRDefault="00015621" w:rsidP="00F95211">
      <w:pPr>
        <w:pStyle w:val="Heading2"/>
        <w:rPr>
          <w:lang w:val="fi-FI"/>
        </w:rPr>
      </w:pPr>
    </w:p>
    <w:p w14:paraId="331662EE" w14:textId="77777777" w:rsidR="00015621" w:rsidRPr="00C152DE" w:rsidRDefault="00015621" w:rsidP="009F1EEB">
      <w:pPr>
        <w:pStyle w:val="Heading2"/>
        <w:rPr>
          <w:lang w:val="fi-FI"/>
        </w:rPr>
      </w:pPr>
      <w:r w:rsidRPr="00C152DE">
        <w:rPr>
          <w:lang w:val="fi-FI"/>
        </w:rPr>
        <w:t>§ 7. </w:t>
      </w:r>
      <w:bookmarkStart w:id="0" w:name="para7"/>
      <w:r w:rsidRPr="00C152DE">
        <w:rPr>
          <w:lang w:val="fi-FI"/>
        </w:rPr>
        <w:t>  </w:t>
      </w:r>
      <w:bookmarkEnd w:id="0"/>
      <w:r w:rsidRPr="00C152DE">
        <w:rPr>
          <w:lang w:val="fi-FI"/>
        </w:rPr>
        <w:t>Meditsiinikiirituse protseduuri tegija</w:t>
      </w:r>
    </w:p>
    <w:p w14:paraId="49ECAAF9" w14:textId="77777777" w:rsidR="00015621" w:rsidRDefault="00015621" w:rsidP="0010709D">
      <w:pPr>
        <w:rPr>
          <w:sz w:val="24"/>
          <w:szCs w:val="24"/>
          <w:lang w:val="fi-FI"/>
        </w:rPr>
      </w:pPr>
    </w:p>
    <w:p w14:paraId="0BB25A77" w14:textId="7B03AF05" w:rsidR="00F95211" w:rsidRDefault="00015621" w:rsidP="0010709D">
      <w:pPr>
        <w:rPr>
          <w:sz w:val="24"/>
          <w:szCs w:val="24"/>
          <w:lang w:val="fi-FI"/>
        </w:rPr>
      </w:pPr>
      <w:r w:rsidRPr="00F95211">
        <w:rPr>
          <w:sz w:val="24"/>
          <w:szCs w:val="24"/>
          <w:lang w:val="fi-FI"/>
        </w:rPr>
        <w:t xml:space="preserve">Kuna muudetakse määrust, siis ehk oleks </w:t>
      </w:r>
      <w:r w:rsidR="00F95211" w:rsidRPr="00F95211">
        <w:rPr>
          <w:sz w:val="24"/>
          <w:szCs w:val="24"/>
          <w:lang w:val="fi-FI"/>
        </w:rPr>
        <w:t>õige</w:t>
      </w:r>
      <w:r w:rsidR="00DE0DD1">
        <w:rPr>
          <w:sz w:val="24"/>
          <w:szCs w:val="24"/>
          <w:lang w:val="fi-FI"/>
        </w:rPr>
        <w:t xml:space="preserve"> aeg</w:t>
      </w:r>
      <w:r w:rsidR="00F95211" w:rsidRPr="00F95211">
        <w:rPr>
          <w:sz w:val="24"/>
          <w:szCs w:val="24"/>
          <w:lang w:val="fi-FI"/>
        </w:rPr>
        <w:t xml:space="preserve"> kaaluda protseduuri tegijate õiguste ülevaatamist. Hetkel on käesoleva punkti all kirjas, et ”…</w:t>
      </w:r>
      <w:r w:rsidR="00F95211" w:rsidRPr="00F95211">
        <w:rPr>
          <w:rFonts w:cs="Arial"/>
          <w:color w:val="202020"/>
          <w:sz w:val="21"/>
          <w:szCs w:val="21"/>
          <w:shd w:val="clear" w:color="auto" w:fill="FFFFFF"/>
          <w:lang w:val="fi-FI"/>
        </w:rPr>
        <w:t xml:space="preserve"> </w:t>
      </w:r>
      <w:r w:rsidR="00F95211" w:rsidRPr="00F95211">
        <w:rPr>
          <w:sz w:val="24"/>
          <w:szCs w:val="24"/>
          <w:lang w:val="fi-FI"/>
        </w:rPr>
        <w:t> arsti juhendamisel radioloogiatehnik.” ERÜ on arvamusel, et radioloogiatehniku</w:t>
      </w:r>
      <w:r w:rsidR="00F95211">
        <w:rPr>
          <w:sz w:val="24"/>
          <w:szCs w:val="24"/>
          <w:lang w:val="fi-FI"/>
        </w:rPr>
        <w:t>i</w:t>
      </w:r>
      <w:r w:rsidR="00F95211" w:rsidRPr="00F95211">
        <w:rPr>
          <w:sz w:val="24"/>
          <w:szCs w:val="24"/>
          <w:lang w:val="fi-FI"/>
        </w:rPr>
        <w:t xml:space="preserve">d </w:t>
      </w:r>
      <w:r w:rsidR="00F95211">
        <w:rPr>
          <w:sz w:val="24"/>
          <w:szCs w:val="24"/>
          <w:lang w:val="fi-FI"/>
        </w:rPr>
        <w:t>tuleb tunnustada</w:t>
      </w:r>
      <w:r w:rsidR="00F95211" w:rsidRPr="00F95211">
        <w:rPr>
          <w:sz w:val="24"/>
          <w:szCs w:val="24"/>
          <w:lang w:val="fi-FI"/>
        </w:rPr>
        <w:t xml:space="preserve"> meditsiinitöötajat</w:t>
      </w:r>
      <w:r w:rsidR="00F95211">
        <w:rPr>
          <w:sz w:val="24"/>
          <w:szCs w:val="24"/>
          <w:lang w:val="fi-FI"/>
        </w:rPr>
        <w:t>ena</w:t>
      </w:r>
      <w:r w:rsidR="00F95211" w:rsidRPr="00F95211">
        <w:rPr>
          <w:sz w:val="24"/>
          <w:szCs w:val="24"/>
          <w:lang w:val="fi-FI"/>
        </w:rPr>
        <w:t xml:space="preserve"> ning </w:t>
      </w:r>
      <w:r w:rsidR="00F95211">
        <w:rPr>
          <w:sz w:val="24"/>
          <w:szCs w:val="24"/>
          <w:lang w:val="fi-FI"/>
        </w:rPr>
        <w:t xml:space="preserve">nad </w:t>
      </w:r>
      <w:r w:rsidR="00F95211" w:rsidRPr="00F95211">
        <w:rPr>
          <w:sz w:val="24"/>
          <w:szCs w:val="24"/>
          <w:lang w:val="fi-FI"/>
        </w:rPr>
        <w:t>võivad ja peavad protseduure läbi viima iseseisvalt.</w:t>
      </w:r>
      <w:r w:rsidR="00F95211">
        <w:rPr>
          <w:sz w:val="24"/>
          <w:szCs w:val="24"/>
          <w:lang w:val="fi-FI"/>
        </w:rPr>
        <w:t xml:space="preserve"> Radioloogiatehnikud on eriväljaõppe saanud meditsiinitöötajad ning see reaalne olukord tuleks ka seadusandlikult vormistada.</w:t>
      </w:r>
    </w:p>
    <w:p w14:paraId="304E4AE6" w14:textId="7FE06C4A" w:rsidR="00015621" w:rsidRPr="00F95211" w:rsidRDefault="00F95211" w:rsidP="0010709D">
      <w:pPr>
        <w:rPr>
          <w:sz w:val="24"/>
          <w:szCs w:val="24"/>
          <w:lang w:val="fi-FI"/>
        </w:rPr>
      </w:pPr>
      <w:r w:rsidRPr="00F95211">
        <w:rPr>
          <w:sz w:val="24"/>
          <w:szCs w:val="24"/>
          <w:lang w:val="fi-FI"/>
        </w:rPr>
        <w:t>Ka meditsiinifüüsiku</w:t>
      </w:r>
      <w:r>
        <w:rPr>
          <w:sz w:val="24"/>
          <w:szCs w:val="24"/>
          <w:lang w:val="fi-FI"/>
        </w:rPr>
        <w:t>i</w:t>
      </w:r>
      <w:r w:rsidRPr="00F95211">
        <w:rPr>
          <w:sz w:val="24"/>
          <w:szCs w:val="24"/>
          <w:lang w:val="fi-FI"/>
        </w:rPr>
        <w:t>d</w:t>
      </w:r>
      <w:r>
        <w:rPr>
          <w:sz w:val="24"/>
          <w:szCs w:val="24"/>
          <w:lang w:val="fi-FI"/>
        </w:rPr>
        <w:t xml:space="preserve"> tuleb samadel alustel tunnustada</w:t>
      </w:r>
      <w:r w:rsidRPr="00F95211">
        <w:rPr>
          <w:sz w:val="24"/>
          <w:szCs w:val="24"/>
          <w:lang w:val="fi-FI"/>
        </w:rPr>
        <w:t xml:space="preserve"> meditsiinitöötaja</w:t>
      </w:r>
      <w:r>
        <w:rPr>
          <w:sz w:val="24"/>
          <w:szCs w:val="24"/>
          <w:lang w:val="fi-FI"/>
        </w:rPr>
        <w:t>tena</w:t>
      </w:r>
      <w:r w:rsidRPr="00F95211">
        <w:rPr>
          <w:sz w:val="24"/>
          <w:szCs w:val="24"/>
          <w:lang w:val="fi-FI"/>
        </w:rPr>
        <w:t>. Nende muudatuste tegemise olulisust rõhutas ka IAEA (International Atomic Energy Agency) oma aasta 2022 raportis.</w:t>
      </w:r>
    </w:p>
    <w:p w14:paraId="7B02AFD6" w14:textId="77777777" w:rsidR="001371DD" w:rsidRPr="00F95211" w:rsidRDefault="001371DD" w:rsidP="0010709D">
      <w:pPr>
        <w:rPr>
          <w:sz w:val="24"/>
          <w:szCs w:val="24"/>
          <w:lang w:val="fi-FI"/>
        </w:rPr>
      </w:pPr>
    </w:p>
    <w:p w14:paraId="03DA96B6" w14:textId="32B0A4FA" w:rsidR="001371DD" w:rsidRPr="00015621" w:rsidRDefault="001371DD" w:rsidP="001371DD">
      <w:pPr>
        <w:pStyle w:val="Heading2"/>
        <w:rPr>
          <w:lang w:val="fi-FI"/>
        </w:rPr>
      </w:pPr>
      <w:r w:rsidRPr="00015621">
        <w:rPr>
          <w:lang w:val="fi-FI"/>
        </w:rPr>
        <w:t>§ 13. </w:t>
      </w:r>
      <w:bookmarkStart w:id="1" w:name="para13"/>
      <w:r w:rsidRPr="00015621">
        <w:rPr>
          <w:lang w:val="fi-FI"/>
        </w:rPr>
        <w:t>  </w:t>
      </w:r>
      <w:bookmarkEnd w:id="1"/>
      <w:r w:rsidRPr="00015621">
        <w:rPr>
          <w:lang w:val="fi-FI"/>
        </w:rPr>
        <w:t>Meditsiinikiiritusseadmete kasutamise nõuded</w:t>
      </w:r>
    </w:p>
    <w:p w14:paraId="04AD891B" w14:textId="77777777" w:rsidR="001371DD" w:rsidRPr="00015621" w:rsidRDefault="001371DD" w:rsidP="001371DD">
      <w:pPr>
        <w:rPr>
          <w:rFonts w:asciiTheme="majorHAnsi" w:eastAsiaTheme="majorEastAsia" w:hAnsiTheme="majorHAnsi" w:cstheme="majorBidi"/>
          <w:b/>
          <w:bCs/>
          <w:color w:val="0F4761" w:themeColor="accent1" w:themeShade="BF"/>
          <w:sz w:val="32"/>
          <w:szCs w:val="32"/>
          <w:lang w:val="fi-FI"/>
        </w:rPr>
      </w:pPr>
    </w:p>
    <w:p w14:paraId="48D572BB" w14:textId="57F0B832" w:rsidR="001371DD" w:rsidRDefault="001371DD" w:rsidP="0010709D">
      <w:pPr>
        <w:rPr>
          <w:sz w:val="24"/>
          <w:szCs w:val="24"/>
          <w:lang w:val="fi-FI"/>
        </w:rPr>
      </w:pPr>
      <w:r>
        <w:rPr>
          <w:sz w:val="24"/>
          <w:szCs w:val="24"/>
          <w:lang w:val="fi-FI"/>
        </w:rPr>
        <w:t>”</w:t>
      </w:r>
      <w:r w:rsidRPr="001371DD">
        <w:rPr>
          <w:sz w:val="24"/>
          <w:szCs w:val="24"/>
          <w:lang w:val="fi-FI"/>
        </w:rPr>
        <w:t>14) paragrahvi 13 lõigetes 1 ja 3 asendatakse sõnad „Euroopa Komisjoni kiirguskaitse“ sõnadega „riiklikult kehtestatud või rahvusvaheliselt tunnustatud“;</w:t>
      </w:r>
    </w:p>
    <w:p w14:paraId="36A6EECB" w14:textId="77777777" w:rsidR="001371DD" w:rsidRDefault="001371DD" w:rsidP="0010709D">
      <w:pPr>
        <w:rPr>
          <w:sz w:val="24"/>
          <w:szCs w:val="24"/>
          <w:lang w:val="fi-FI"/>
        </w:rPr>
      </w:pPr>
    </w:p>
    <w:p w14:paraId="532FCDCD" w14:textId="77777777" w:rsidR="00C152DE" w:rsidRDefault="001371DD" w:rsidP="0010709D">
      <w:pPr>
        <w:rPr>
          <w:sz w:val="24"/>
          <w:szCs w:val="24"/>
          <w:lang w:val="fi-FI"/>
        </w:rPr>
      </w:pPr>
      <w:r w:rsidRPr="001371DD">
        <w:rPr>
          <w:b/>
          <w:bCs/>
          <w:lang w:val="fi-FI"/>
        </w:rPr>
        <w:t>Tagasiside:</w:t>
      </w:r>
      <w:r>
        <w:rPr>
          <w:sz w:val="24"/>
          <w:szCs w:val="24"/>
          <w:lang w:val="fi-FI"/>
        </w:rPr>
        <w:t xml:space="preserve"> </w:t>
      </w:r>
    </w:p>
    <w:p w14:paraId="034B21C5" w14:textId="0B5F1AB0" w:rsidR="00C152DE" w:rsidRDefault="00C152DE" w:rsidP="0010709D">
      <w:pPr>
        <w:rPr>
          <w:sz w:val="24"/>
          <w:szCs w:val="24"/>
          <w:lang w:val="fi-FI"/>
        </w:rPr>
      </w:pPr>
      <w:r>
        <w:rPr>
          <w:sz w:val="24"/>
          <w:szCs w:val="24"/>
          <w:lang w:val="fi-FI"/>
        </w:rPr>
        <w:t xml:space="preserve">Soovitame muuta lõigu </w:t>
      </w:r>
      <w:r w:rsidRPr="001371DD">
        <w:rPr>
          <w:sz w:val="24"/>
          <w:szCs w:val="24"/>
          <w:lang w:val="fi-FI"/>
        </w:rPr>
        <w:t>„riiklikult kehtestatud või rahvusvaheliselt tunnustatud“</w:t>
      </w:r>
      <w:r>
        <w:rPr>
          <w:sz w:val="24"/>
          <w:szCs w:val="24"/>
          <w:lang w:val="fi-FI"/>
        </w:rPr>
        <w:t xml:space="preserve"> sõnastust järgnevalt: ”</w:t>
      </w:r>
      <w:r w:rsidRPr="001371DD">
        <w:rPr>
          <w:sz w:val="24"/>
          <w:szCs w:val="24"/>
          <w:lang w:val="fi-FI"/>
        </w:rPr>
        <w:t xml:space="preserve">„riiklikult kehtestatud või </w:t>
      </w:r>
      <w:r w:rsidRPr="00C152DE">
        <w:rPr>
          <w:sz w:val="24"/>
          <w:szCs w:val="24"/>
          <w:lang w:val="fi-FI"/>
        </w:rPr>
        <w:t>Eestis registreeritud erialaseltsi poolt tunnustatud</w:t>
      </w:r>
      <w:r>
        <w:rPr>
          <w:sz w:val="24"/>
          <w:szCs w:val="24"/>
          <w:lang w:val="fi-FI"/>
        </w:rPr>
        <w:t xml:space="preserve">.” Seda põhjusel, et Eestis peaksime ikkagi lähtuma Eestis tunnustatud juhenditest ning see selline sõnastus ei pane meile kohustus neid välja töötada. </w:t>
      </w:r>
    </w:p>
    <w:p w14:paraId="4E0C900B" w14:textId="77777777" w:rsidR="00C152DE" w:rsidRDefault="00C152DE" w:rsidP="0010709D">
      <w:pPr>
        <w:rPr>
          <w:sz w:val="24"/>
          <w:szCs w:val="24"/>
          <w:lang w:val="fi-FI"/>
        </w:rPr>
      </w:pPr>
    </w:p>
    <w:p w14:paraId="1B0EE723" w14:textId="60D07501" w:rsidR="001371DD" w:rsidRDefault="001371DD" w:rsidP="0010709D">
      <w:pPr>
        <w:rPr>
          <w:sz w:val="24"/>
          <w:szCs w:val="24"/>
          <w:lang w:val="fi-FI"/>
        </w:rPr>
      </w:pPr>
      <w:r>
        <w:rPr>
          <w:sz w:val="24"/>
          <w:szCs w:val="24"/>
          <w:lang w:val="fi-FI"/>
        </w:rPr>
        <w:t>Määruses on selle punkti lõpus kirjas, et ”j</w:t>
      </w:r>
      <w:r w:rsidRPr="001371DD">
        <w:rPr>
          <w:sz w:val="24"/>
          <w:szCs w:val="24"/>
          <w:lang w:val="fi-FI"/>
        </w:rPr>
        <w:t>uhendi avaldab Keskkonnaamet oma veebilehel.</w:t>
      </w:r>
      <w:r>
        <w:rPr>
          <w:sz w:val="24"/>
          <w:szCs w:val="24"/>
          <w:lang w:val="fi-FI"/>
        </w:rPr>
        <w:t xml:space="preserve">” Siiani ei ole meile laekunud andmetel </w:t>
      </w:r>
      <w:r w:rsidRPr="001371DD">
        <w:rPr>
          <w:sz w:val="24"/>
          <w:szCs w:val="24"/>
          <w:lang w:val="fi-FI"/>
        </w:rPr>
        <w:t>meditsiinikiiritusseadmeid puudutavad juhendid K</w:t>
      </w:r>
      <w:r>
        <w:rPr>
          <w:sz w:val="24"/>
          <w:szCs w:val="24"/>
          <w:lang w:val="fi-FI"/>
        </w:rPr>
        <w:t>eskkonnaameti veebilehel kättesaadavad olnud, kuna soovitused</w:t>
      </w:r>
      <w:r w:rsidR="00D36D15">
        <w:rPr>
          <w:sz w:val="24"/>
          <w:szCs w:val="24"/>
          <w:lang w:val="fi-FI"/>
        </w:rPr>
        <w:t xml:space="preserve"> olid</w:t>
      </w:r>
      <w:r>
        <w:rPr>
          <w:sz w:val="24"/>
          <w:szCs w:val="24"/>
          <w:lang w:val="fi-FI"/>
        </w:rPr>
        <w:t xml:space="preserve"> vananenud. ERÜ loodab, et peale punkti sõnastuse muutmist hakkavad veebilehele jõudma ka kaasajastatud juhendid.</w:t>
      </w:r>
    </w:p>
    <w:p w14:paraId="7E6AE0B1" w14:textId="77777777" w:rsidR="001371DD" w:rsidRDefault="001371DD" w:rsidP="0010709D">
      <w:pPr>
        <w:rPr>
          <w:sz w:val="24"/>
          <w:szCs w:val="24"/>
          <w:lang w:val="fi-FI"/>
        </w:rPr>
      </w:pPr>
    </w:p>
    <w:p w14:paraId="012EEFE8" w14:textId="77777777" w:rsidR="001371DD" w:rsidRPr="001371DD" w:rsidRDefault="001371DD" w:rsidP="009F1EEB">
      <w:pPr>
        <w:pStyle w:val="Heading2"/>
        <w:rPr>
          <w:lang w:val="fi-FI"/>
        </w:rPr>
      </w:pPr>
      <w:r w:rsidRPr="001371DD">
        <w:rPr>
          <w:lang w:val="fi-FI"/>
        </w:rPr>
        <w:t>§ 14. </w:t>
      </w:r>
      <w:bookmarkStart w:id="2" w:name="para14"/>
      <w:r w:rsidRPr="001371DD">
        <w:rPr>
          <w:lang w:val="fi-FI"/>
        </w:rPr>
        <w:t>  </w:t>
      </w:r>
      <w:bookmarkEnd w:id="2"/>
      <w:r w:rsidRPr="001371DD">
        <w:rPr>
          <w:lang w:val="fi-FI"/>
        </w:rPr>
        <w:t>Tegevusjuhised</w:t>
      </w:r>
    </w:p>
    <w:p w14:paraId="18C400EA" w14:textId="30385B4E" w:rsidR="00015621" w:rsidRDefault="00D36D15" w:rsidP="0010709D">
      <w:pPr>
        <w:rPr>
          <w:sz w:val="24"/>
          <w:szCs w:val="24"/>
          <w:lang w:val="fi-FI"/>
        </w:rPr>
      </w:pPr>
      <w:r>
        <w:rPr>
          <w:sz w:val="24"/>
          <w:szCs w:val="24"/>
          <w:lang w:val="fi-FI"/>
        </w:rPr>
        <w:t>”</w:t>
      </w:r>
      <w:r w:rsidR="00015621" w:rsidRPr="00015621">
        <w:rPr>
          <w:sz w:val="24"/>
          <w:szCs w:val="24"/>
          <w:lang w:val="fi-FI"/>
        </w:rPr>
        <w:t>16) paragrahvi 14 lõige 1 sõnastatakse järgmiselt: „(1) Kiirgustegevusloa omaja tagab, et igale asutuses kasutatavale meditsiinikiiritusseadmele on koostatud kiirgustöötajatele arusaadavad tegevusjuhised standardsete meditsiinikiirituse protseduuride kohta.“;</w:t>
      </w:r>
    </w:p>
    <w:p w14:paraId="0D621E24" w14:textId="4DCC7B3F" w:rsidR="00015621" w:rsidRDefault="001371DD" w:rsidP="00015621">
      <w:pPr>
        <w:rPr>
          <w:lang w:val="fi-FI"/>
        </w:rPr>
      </w:pPr>
      <w:r w:rsidRPr="001371DD">
        <w:rPr>
          <w:b/>
          <w:bCs/>
          <w:sz w:val="24"/>
          <w:szCs w:val="24"/>
          <w:lang w:val="fi-FI"/>
        </w:rPr>
        <w:t>Tagasiside:</w:t>
      </w:r>
      <w:r w:rsidR="00015621">
        <w:rPr>
          <w:b/>
          <w:bCs/>
          <w:sz w:val="24"/>
          <w:szCs w:val="24"/>
          <w:lang w:val="fi-FI"/>
        </w:rPr>
        <w:t xml:space="preserve"> </w:t>
      </w:r>
      <w:r w:rsidR="00015621" w:rsidRPr="00015621">
        <w:rPr>
          <w:sz w:val="24"/>
          <w:szCs w:val="24"/>
          <w:lang w:val="fi-FI"/>
        </w:rPr>
        <w:t>ERÜ soovitab sõnastada punkt järgnevalt:</w:t>
      </w:r>
      <w:r w:rsidR="00015621">
        <w:rPr>
          <w:b/>
          <w:bCs/>
          <w:sz w:val="24"/>
          <w:szCs w:val="24"/>
          <w:lang w:val="fi-FI"/>
        </w:rPr>
        <w:t xml:space="preserve"> </w:t>
      </w:r>
      <w:r w:rsidR="00015621" w:rsidRPr="004229E5">
        <w:rPr>
          <w:lang w:val="fi-FI"/>
        </w:rPr>
        <w:t>„(1) Kiirgustegevus</w:t>
      </w:r>
      <w:r w:rsidR="00F11EE4">
        <w:rPr>
          <w:lang w:val="fi-FI"/>
        </w:rPr>
        <w:t>e teostaja</w:t>
      </w:r>
      <w:r w:rsidR="00015621" w:rsidRPr="004229E5">
        <w:rPr>
          <w:lang w:val="fi-FI"/>
        </w:rPr>
        <w:t xml:space="preserve"> tagab, et igale asutuses kasutatavale meditsiinikiiritussead</w:t>
      </w:r>
      <w:r w:rsidR="00015621">
        <w:rPr>
          <w:lang w:val="fi-FI"/>
        </w:rPr>
        <w:t xml:space="preserve">me modaliteedile </w:t>
      </w:r>
      <w:r w:rsidR="00015621" w:rsidRPr="004229E5">
        <w:rPr>
          <w:lang w:val="fi-FI"/>
        </w:rPr>
        <w:t>on koostatud kiirgustöötajatele arusaadavad tegevusjuhised</w:t>
      </w:r>
      <w:r w:rsidR="00015621">
        <w:rPr>
          <w:lang w:val="fi-FI"/>
        </w:rPr>
        <w:t xml:space="preserve"> rutiinsete</w:t>
      </w:r>
      <w:r w:rsidR="00015621" w:rsidRPr="004229E5">
        <w:rPr>
          <w:lang w:val="fi-FI"/>
        </w:rPr>
        <w:t xml:space="preserve"> meditsiinikiirituse protseduuride kohta.“;</w:t>
      </w:r>
      <w:r w:rsidR="00015621">
        <w:rPr>
          <w:lang w:val="fi-FI"/>
        </w:rPr>
        <w:t xml:space="preserve"> Esialgses sõnastuses tekib kohustus koostada juhised igale seadmele.</w:t>
      </w:r>
      <w:r w:rsidR="009733E2">
        <w:rPr>
          <w:lang w:val="fi-FI"/>
        </w:rPr>
        <w:t xml:space="preserve"> </w:t>
      </w:r>
      <w:r w:rsidR="00015621">
        <w:rPr>
          <w:lang w:val="fi-FI"/>
        </w:rPr>
        <w:t xml:space="preserve"> </w:t>
      </w:r>
    </w:p>
    <w:p w14:paraId="47DE07CF" w14:textId="77777777" w:rsidR="00D36D15" w:rsidRDefault="00D36D15" w:rsidP="00015621">
      <w:pPr>
        <w:rPr>
          <w:lang w:val="fi-FI"/>
        </w:rPr>
      </w:pPr>
    </w:p>
    <w:p w14:paraId="4E6BEA4A" w14:textId="77777777" w:rsidR="00D36D15" w:rsidRDefault="00D36D15" w:rsidP="00D36D15">
      <w:pPr>
        <w:pStyle w:val="Heading2"/>
      </w:pPr>
      <w:r w:rsidRPr="00D36D15">
        <w:t>§ 18. </w:t>
      </w:r>
      <w:bookmarkStart w:id="3" w:name="para18"/>
      <w:r w:rsidRPr="00D36D15">
        <w:t>  </w:t>
      </w:r>
      <w:bookmarkEnd w:id="3"/>
      <w:r w:rsidRPr="00D36D15">
        <w:t>Meditsiinikiirituse protseduuride kliiniline audit</w:t>
      </w:r>
    </w:p>
    <w:p w14:paraId="46633DF3" w14:textId="77777777" w:rsidR="00D36D15" w:rsidRDefault="00D36D15" w:rsidP="00D36D15"/>
    <w:p w14:paraId="54680793" w14:textId="4A571EB5" w:rsidR="00D36D15" w:rsidRDefault="00D36D15" w:rsidP="00D36D15">
      <w:r>
        <w:t>“</w:t>
      </w:r>
      <w:r w:rsidRPr="00D36D15">
        <w:t>24) paragrahvi 18 lõiked 3–5 sõnastatakse järgmiselt: „(3) Kliinilise auditi kavandamisel ja tegemisel juhindub kiirgustegevusloa omaja asjakohasest riiklikult kehtestatud või rahvusvaheliselt tunnustatud juhendist kliinilise auditi kohta. Juhendi avaldab Terviseamet oma veebilehel.</w:t>
      </w:r>
      <w:r>
        <w:t>”</w:t>
      </w:r>
    </w:p>
    <w:p w14:paraId="43DB84AC" w14:textId="18C44FE7" w:rsidR="00015621" w:rsidRDefault="00D36D15" w:rsidP="00015621">
      <w:pPr>
        <w:rPr>
          <w:lang w:val="fi-FI"/>
        </w:rPr>
      </w:pPr>
      <w:r w:rsidRPr="00D36D15">
        <w:rPr>
          <w:lang w:val="fi-FI"/>
        </w:rPr>
        <w:lastRenderedPageBreak/>
        <w:t xml:space="preserve">Tagasiside: ERÜ soovitus </w:t>
      </w:r>
      <w:r>
        <w:rPr>
          <w:lang w:val="fi-FI"/>
        </w:rPr>
        <w:t>on</w:t>
      </w:r>
      <w:r w:rsidRPr="00D36D15">
        <w:rPr>
          <w:lang w:val="fi-FI"/>
        </w:rPr>
        <w:t>, e</w:t>
      </w:r>
      <w:r>
        <w:rPr>
          <w:lang w:val="fi-FI"/>
        </w:rPr>
        <w:t xml:space="preserve">t ”rahvusvaheliselt tunnustatud juhendi” asemel viidataks konkreetselt juhendile </w:t>
      </w:r>
      <w:r w:rsidRPr="00D36D15">
        <w:rPr>
          <w:lang w:val="fi-FI"/>
        </w:rPr>
        <w:t>RP159</w:t>
      </w:r>
      <w:r>
        <w:rPr>
          <w:lang w:val="fi-FI"/>
        </w:rPr>
        <w:t>.</w:t>
      </w:r>
    </w:p>
    <w:p w14:paraId="527F8B98" w14:textId="77777777" w:rsidR="00D36D15" w:rsidRPr="00D36D15" w:rsidRDefault="00D36D15" w:rsidP="00015621">
      <w:pPr>
        <w:rPr>
          <w:lang w:val="fi-FI"/>
        </w:rPr>
      </w:pPr>
    </w:p>
    <w:p w14:paraId="095F326E" w14:textId="6E24ABF6" w:rsidR="00015621" w:rsidRPr="00D36D15" w:rsidRDefault="00015621" w:rsidP="00015621">
      <w:r w:rsidRPr="00D36D15">
        <w:t>Lugupidamisega,</w:t>
      </w:r>
    </w:p>
    <w:p w14:paraId="097931A7" w14:textId="68B61BA0" w:rsidR="00015621" w:rsidRPr="00D36D15" w:rsidRDefault="00015621" w:rsidP="00015621">
      <w:r w:rsidRPr="00D36D15">
        <w:t>Gert Mikkal, ERÜ president</w:t>
      </w:r>
    </w:p>
    <w:p w14:paraId="1A67EE4D" w14:textId="77777777" w:rsidR="00015621" w:rsidRPr="00D36D15" w:rsidRDefault="00015621" w:rsidP="00015621"/>
    <w:p w14:paraId="13A63BD3" w14:textId="77777777" w:rsidR="00015621" w:rsidRPr="00D36D15" w:rsidRDefault="00015621" w:rsidP="00015621"/>
    <w:p w14:paraId="68E7D959" w14:textId="082B0AEC" w:rsidR="001371DD" w:rsidRPr="00D36D15" w:rsidRDefault="001371DD" w:rsidP="0010709D">
      <w:pPr>
        <w:rPr>
          <w:b/>
          <w:bCs/>
          <w:sz w:val="24"/>
          <w:szCs w:val="24"/>
        </w:rPr>
      </w:pPr>
    </w:p>
    <w:p w14:paraId="7C67845C" w14:textId="5103B57C" w:rsidR="007E17BD" w:rsidRPr="00D36D15" w:rsidRDefault="007E17BD" w:rsidP="007E17BD"/>
    <w:p w14:paraId="21E6CB05" w14:textId="3F48B3FC" w:rsidR="00FD5176" w:rsidRPr="00D36D15" w:rsidRDefault="00FD5176" w:rsidP="00FD5176"/>
    <w:sectPr w:rsidR="00FD5176" w:rsidRPr="00D36D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76"/>
    <w:rsid w:val="00015621"/>
    <w:rsid w:val="00022DBB"/>
    <w:rsid w:val="0010709D"/>
    <w:rsid w:val="001371DD"/>
    <w:rsid w:val="001B21D6"/>
    <w:rsid w:val="002201B1"/>
    <w:rsid w:val="002B728C"/>
    <w:rsid w:val="002D7D4D"/>
    <w:rsid w:val="003526DE"/>
    <w:rsid w:val="007C4B90"/>
    <w:rsid w:val="007C7FCC"/>
    <w:rsid w:val="007E17BD"/>
    <w:rsid w:val="008761DB"/>
    <w:rsid w:val="009733E2"/>
    <w:rsid w:val="009F1EEB"/>
    <w:rsid w:val="00BC6004"/>
    <w:rsid w:val="00C152DE"/>
    <w:rsid w:val="00D36D15"/>
    <w:rsid w:val="00DE0DD1"/>
    <w:rsid w:val="00E9675A"/>
    <w:rsid w:val="00EE72A2"/>
    <w:rsid w:val="00F11EE4"/>
    <w:rsid w:val="00F95211"/>
    <w:rsid w:val="00FD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36696"/>
  <w15:chartTrackingRefBased/>
  <w15:docId w15:val="{A70770BB-78E3-4DAD-8886-A313AADB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5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5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176"/>
    <w:rPr>
      <w:rFonts w:eastAsiaTheme="majorEastAsia" w:cstheme="majorBidi"/>
      <w:color w:val="272727" w:themeColor="text1" w:themeTint="D8"/>
    </w:rPr>
  </w:style>
  <w:style w:type="paragraph" w:styleId="Title">
    <w:name w:val="Title"/>
    <w:basedOn w:val="Normal"/>
    <w:next w:val="Normal"/>
    <w:link w:val="TitleChar"/>
    <w:uiPriority w:val="10"/>
    <w:qFormat/>
    <w:rsid w:val="00FD5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176"/>
    <w:pPr>
      <w:spacing w:before="160"/>
      <w:jc w:val="center"/>
    </w:pPr>
    <w:rPr>
      <w:i/>
      <w:iCs/>
      <w:color w:val="404040" w:themeColor="text1" w:themeTint="BF"/>
    </w:rPr>
  </w:style>
  <w:style w:type="character" w:customStyle="1" w:styleId="QuoteChar">
    <w:name w:val="Quote Char"/>
    <w:basedOn w:val="DefaultParagraphFont"/>
    <w:link w:val="Quote"/>
    <w:uiPriority w:val="29"/>
    <w:rsid w:val="00FD5176"/>
    <w:rPr>
      <w:i/>
      <w:iCs/>
      <w:color w:val="404040" w:themeColor="text1" w:themeTint="BF"/>
    </w:rPr>
  </w:style>
  <w:style w:type="paragraph" w:styleId="ListParagraph">
    <w:name w:val="List Paragraph"/>
    <w:basedOn w:val="Normal"/>
    <w:uiPriority w:val="34"/>
    <w:qFormat/>
    <w:rsid w:val="00FD5176"/>
    <w:pPr>
      <w:ind w:left="720"/>
      <w:contextualSpacing/>
    </w:pPr>
  </w:style>
  <w:style w:type="character" w:styleId="IntenseEmphasis">
    <w:name w:val="Intense Emphasis"/>
    <w:basedOn w:val="DefaultParagraphFont"/>
    <w:uiPriority w:val="21"/>
    <w:qFormat/>
    <w:rsid w:val="00FD5176"/>
    <w:rPr>
      <w:i/>
      <w:iCs/>
      <w:color w:val="0F4761" w:themeColor="accent1" w:themeShade="BF"/>
    </w:rPr>
  </w:style>
  <w:style w:type="paragraph" w:styleId="IntenseQuote">
    <w:name w:val="Intense Quote"/>
    <w:basedOn w:val="Normal"/>
    <w:next w:val="Normal"/>
    <w:link w:val="IntenseQuoteChar"/>
    <w:uiPriority w:val="30"/>
    <w:qFormat/>
    <w:rsid w:val="00FD5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176"/>
    <w:rPr>
      <w:i/>
      <w:iCs/>
      <w:color w:val="0F4761" w:themeColor="accent1" w:themeShade="BF"/>
    </w:rPr>
  </w:style>
  <w:style w:type="character" w:styleId="IntenseReference">
    <w:name w:val="Intense Reference"/>
    <w:basedOn w:val="DefaultParagraphFont"/>
    <w:uiPriority w:val="32"/>
    <w:qFormat/>
    <w:rsid w:val="00FD51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2448">
      <w:bodyDiv w:val="1"/>
      <w:marLeft w:val="0"/>
      <w:marRight w:val="0"/>
      <w:marTop w:val="0"/>
      <w:marBottom w:val="0"/>
      <w:divBdr>
        <w:top w:val="none" w:sz="0" w:space="0" w:color="auto"/>
        <w:left w:val="none" w:sz="0" w:space="0" w:color="auto"/>
        <w:bottom w:val="none" w:sz="0" w:space="0" w:color="auto"/>
        <w:right w:val="none" w:sz="0" w:space="0" w:color="auto"/>
      </w:divBdr>
    </w:div>
    <w:div w:id="44958449">
      <w:bodyDiv w:val="1"/>
      <w:marLeft w:val="0"/>
      <w:marRight w:val="0"/>
      <w:marTop w:val="0"/>
      <w:marBottom w:val="0"/>
      <w:divBdr>
        <w:top w:val="none" w:sz="0" w:space="0" w:color="auto"/>
        <w:left w:val="none" w:sz="0" w:space="0" w:color="auto"/>
        <w:bottom w:val="none" w:sz="0" w:space="0" w:color="auto"/>
        <w:right w:val="none" w:sz="0" w:space="0" w:color="auto"/>
      </w:divBdr>
    </w:div>
    <w:div w:id="153229159">
      <w:bodyDiv w:val="1"/>
      <w:marLeft w:val="0"/>
      <w:marRight w:val="0"/>
      <w:marTop w:val="0"/>
      <w:marBottom w:val="0"/>
      <w:divBdr>
        <w:top w:val="none" w:sz="0" w:space="0" w:color="auto"/>
        <w:left w:val="none" w:sz="0" w:space="0" w:color="auto"/>
        <w:bottom w:val="none" w:sz="0" w:space="0" w:color="auto"/>
        <w:right w:val="none" w:sz="0" w:space="0" w:color="auto"/>
      </w:divBdr>
    </w:div>
    <w:div w:id="396631686">
      <w:bodyDiv w:val="1"/>
      <w:marLeft w:val="0"/>
      <w:marRight w:val="0"/>
      <w:marTop w:val="0"/>
      <w:marBottom w:val="0"/>
      <w:divBdr>
        <w:top w:val="none" w:sz="0" w:space="0" w:color="auto"/>
        <w:left w:val="none" w:sz="0" w:space="0" w:color="auto"/>
        <w:bottom w:val="none" w:sz="0" w:space="0" w:color="auto"/>
        <w:right w:val="none" w:sz="0" w:space="0" w:color="auto"/>
      </w:divBdr>
    </w:div>
    <w:div w:id="503207049">
      <w:bodyDiv w:val="1"/>
      <w:marLeft w:val="0"/>
      <w:marRight w:val="0"/>
      <w:marTop w:val="0"/>
      <w:marBottom w:val="0"/>
      <w:divBdr>
        <w:top w:val="none" w:sz="0" w:space="0" w:color="auto"/>
        <w:left w:val="none" w:sz="0" w:space="0" w:color="auto"/>
        <w:bottom w:val="none" w:sz="0" w:space="0" w:color="auto"/>
        <w:right w:val="none" w:sz="0" w:space="0" w:color="auto"/>
      </w:divBdr>
    </w:div>
    <w:div w:id="588080202">
      <w:bodyDiv w:val="1"/>
      <w:marLeft w:val="0"/>
      <w:marRight w:val="0"/>
      <w:marTop w:val="0"/>
      <w:marBottom w:val="0"/>
      <w:divBdr>
        <w:top w:val="none" w:sz="0" w:space="0" w:color="auto"/>
        <w:left w:val="none" w:sz="0" w:space="0" w:color="auto"/>
        <w:bottom w:val="none" w:sz="0" w:space="0" w:color="auto"/>
        <w:right w:val="none" w:sz="0" w:space="0" w:color="auto"/>
      </w:divBdr>
    </w:div>
    <w:div w:id="817958237">
      <w:bodyDiv w:val="1"/>
      <w:marLeft w:val="0"/>
      <w:marRight w:val="0"/>
      <w:marTop w:val="0"/>
      <w:marBottom w:val="0"/>
      <w:divBdr>
        <w:top w:val="none" w:sz="0" w:space="0" w:color="auto"/>
        <w:left w:val="none" w:sz="0" w:space="0" w:color="auto"/>
        <w:bottom w:val="none" w:sz="0" w:space="0" w:color="auto"/>
        <w:right w:val="none" w:sz="0" w:space="0" w:color="auto"/>
      </w:divBdr>
    </w:div>
    <w:div w:id="1103040068">
      <w:bodyDiv w:val="1"/>
      <w:marLeft w:val="0"/>
      <w:marRight w:val="0"/>
      <w:marTop w:val="0"/>
      <w:marBottom w:val="0"/>
      <w:divBdr>
        <w:top w:val="none" w:sz="0" w:space="0" w:color="auto"/>
        <w:left w:val="none" w:sz="0" w:space="0" w:color="auto"/>
        <w:bottom w:val="none" w:sz="0" w:space="0" w:color="auto"/>
        <w:right w:val="none" w:sz="0" w:space="0" w:color="auto"/>
      </w:divBdr>
    </w:div>
    <w:div w:id="1118181198">
      <w:bodyDiv w:val="1"/>
      <w:marLeft w:val="0"/>
      <w:marRight w:val="0"/>
      <w:marTop w:val="0"/>
      <w:marBottom w:val="0"/>
      <w:divBdr>
        <w:top w:val="none" w:sz="0" w:space="0" w:color="auto"/>
        <w:left w:val="none" w:sz="0" w:space="0" w:color="auto"/>
        <w:bottom w:val="none" w:sz="0" w:space="0" w:color="auto"/>
        <w:right w:val="none" w:sz="0" w:space="0" w:color="auto"/>
      </w:divBdr>
    </w:div>
    <w:div w:id="1428426056">
      <w:bodyDiv w:val="1"/>
      <w:marLeft w:val="0"/>
      <w:marRight w:val="0"/>
      <w:marTop w:val="0"/>
      <w:marBottom w:val="0"/>
      <w:divBdr>
        <w:top w:val="none" w:sz="0" w:space="0" w:color="auto"/>
        <w:left w:val="none" w:sz="0" w:space="0" w:color="auto"/>
        <w:bottom w:val="none" w:sz="0" w:space="0" w:color="auto"/>
        <w:right w:val="none" w:sz="0" w:space="0" w:color="auto"/>
      </w:divBdr>
    </w:div>
    <w:div w:id="1480726140">
      <w:bodyDiv w:val="1"/>
      <w:marLeft w:val="0"/>
      <w:marRight w:val="0"/>
      <w:marTop w:val="0"/>
      <w:marBottom w:val="0"/>
      <w:divBdr>
        <w:top w:val="none" w:sz="0" w:space="0" w:color="auto"/>
        <w:left w:val="none" w:sz="0" w:space="0" w:color="auto"/>
        <w:bottom w:val="none" w:sz="0" w:space="0" w:color="auto"/>
        <w:right w:val="none" w:sz="0" w:space="0" w:color="auto"/>
      </w:divBdr>
    </w:div>
    <w:div w:id="1610312173">
      <w:bodyDiv w:val="1"/>
      <w:marLeft w:val="0"/>
      <w:marRight w:val="0"/>
      <w:marTop w:val="0"/>
      <w:marBottom w:val="0"/>
      <w:divBdr>
        <w:top w:val="none" w:sz="0" w:space="0" w:color="auto"/>
        <w:left w:val="none" w:sz="0" w:space="0" w:color="auto"/>
        <w:bottom w:val="none" w:sz="0" w:space="0" w:color="auto"/>
        <w:right w:val="none" w:sz="0" w:space="0" w:color="auto"/>
      </w:divBdr>
    </w:div>
    <w:div w:id="1757283986">
      <w:bodyDiv w:val="1"/>
      <w:marLeft w:val="0"/>
      <w:marRight w:val="0"/>
      <w:marTop w:val="0"/>
      <w:marBottom w:val="0"/>
      <w:divBdr>
        <w:top w:val="none" w:sz="0" w:space="0" w:color="auto"/>
        <w:left w:val="none" w:sz="0" w:space="0" w:color="auto"/>
        <w:bottom w:val="none" w:sz="0" w:space="0" w:color="auto"/>
        <w:right w:val="none" w:sz="0" w:space="0" w:color="auto"/>
      </w:divBdr>
    </w:div>
    <w:div w:id="1786002114">
      <w:bodyDiv w:val="1"/>
      <w:marLeft w:val="0"/>
      <w:marRight w:val="0"/>
      <w:marTop w:val="0"/>
      <w:marBottom w:val="0"/>
      <w:divBdr>
        <w:top w:val="none" w:sz="0" w:space="0" w:color="auto"/>
        <w:left w:val="none" w:sz="0" w:space="0" w:color="auto"/>
        <w:bottom w:val="none" w:sz="0" w:space="0" w:color="auto"/>
        <w:right w:val="none" w:sz="0" w:space="0" w:color="auto"/>
      </w:divBdr>
    </w:div>
    <w:div w:id="1801455290">
      <w:bodyDiv w:val="1"/>
      <w:marLeft w:val="0"/>
      <w:marRight w:val="0"/>
      <w:marTop w:val="0"/>
      <w:marBottom w:val="0"/>
      <w:divBdr>
        <w:top w:val="none" w:sz="0" w:space="0" w:color="auto"/>
        <w:left w:val="none" w:sz="0" w:space="0" w:color="auto"/>
        <w:bottom w:val="none" w:sz="0" w:space="0" w:color="auto"/>
        <w:right w:val="none" w:sz="0" w:space="0" w:color="auto"/>
      </w:divBdr>
    </w:div>
    <w:div w:id="1817919356">
      <w:bodyDiv w:val="1"/>
      <w:marLeft w:val="0"/>
      <w:marRight w:val="0"/>
      <w:marTop w:val="0"/>
      <w:marBottom w:val="0"/>
      <w:divBdr>
        <w:top w:val="none" w:sz="0" w:space="0" w:color="auto"/>
        <w:left w:val="none" w:sz="0" w:space="0" w:color="auto"/>
        <w:bottom w:val="none" w:sz="0" w:space="0" w:color="auto"/>
        <w:right w:val="none" w:sz="0" w:space="0" w:color="auto"/>
      </w:divBdr>
    </w:div>
    <w:div w:id="1921673404">
      <w:bodyDiv w:val="1"/>
      <w:marLeft w:val="0"/>
      <w:marRight w:val="0"/>
      <w:marTop w:val="0"/>
      <w:marBottom w:val="0"/>
      <w:divBdr>
        <w:top w:val="none" w:sz="0" w:space="0" w:color="auto"/>
        <w:left w:val="none" w:sz="0" w:space="0" w:color="auto"/>
        <w:bottom w:val="none" w:sz="0" w:space="0" w:color="auto"/>
        <w:right w:val="none" w:sz="0" w:space="0" w:color="auto"/>
      </w:divBdr>
    </w:div>
    <w:div w:id="203872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624</Words>
  <Characters>5107</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Mikkal</dc:creator>
  <cp:keywords/>
  <dc:description/>
  <cp:lastModifiedBy>Gert Mikkal</cp:lastModifiedBy>
  <cp:revision>11</cp:revision>
  <dcterms:created xsi:type="dcterms:W3CDTF">2024-07-29T10:04:00Z</dcterms:created>
  <dcterms:modified xsi:type="dcterms:W3CDTF">2024-07-29T12:19:00Z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f8854989-7eb9-4fe9-8907-1327a9255fbe</vt:lpwstr>
  </property>
</Properties>
</file>